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D2C" w:rsidRDefault="00D45D2C" w:rsidP="00D45D2C">
      <w:pPr>
        <w:widowControl w:val="0"/>
        <w:autoSpaceDE w:val="0"/>
        <w:autoSpaceDN w:val="0"/>
        <w:adjustRightInd w:val="0"/>
        <w:spacing w:after="323"/>
        <w:rPr>
          <w:rFonts w:ascii="Helvetica" w:hAnsi="Helvetica" w:cs="Helvetica"/>
          <w:b/>
          <w:bCs/>
          <w:sz w:val="40"/>
          <w:szCs w:val="40"/>
          <w:lang w:val="en-US"/>
        </w:rPr>
      </w:pPr>
      <w:r>
        <w:rPr>
          <w:rFonts w:ascii="Arial" w:hAnsi="Arial" w:cs="Arial"/>
          <w:lang w:val="en-US"/>
        </w:rPr>
        <w:fldChar w:fldCharType="begin"/>
      </w:r>
      <w:r>
        <w:rPr>
          <w:rFonts w:ascii="Arial" w:hAnsi="Arial" w:cs="Arial"/>
          <w:lang w:val="en-US"/>
        </w:rPr>
        <w:instrText>HYPERLINK "http://isrra.sk/informacie/aktualne-vyzvy/824-aktualizacia-harmonogramu-vyziev-na-rok-2014-c-2.html"</w:instrText>
      </w:r>
      <w:r>
        <w:rPr>
          <w:rFonts w:ascii="Arial" w:hAnsi="Arial" w:cs="Arial"/>
          <w:lang w:val="en-US"/>
        </w:rPr>
      </w:r>
      <w:r>
        <w:rPr>
          <w:rFonts w:ascii="Arial" w:hAnsi="Arial" w:cs="Arial"/>
          <w:lang w:val="en-US"/>
        </w:rPr>
        <w:fldChar w:fldCharType="separate"/>
      </w:r>
      <w:r>
        <w:rPr>
          <w:rFonts w:ascii="Arial" w:hAnsi="Arial" w:cs="Arial"/>
          <w:b/>
          <w:bCs/>
          <w:sz w:val="32"/>
          <w:szCs w:val="32"/>
          <w:lang w:val="en-US"/>
        </w:rPr>
        <w:t xml:space="preserve">Aktualizácia Harmonogramu výziev </w:t>
      </w:r>
      <w:proofErr w:type="gramStart"/>
      <w:r>
        <w:rPr>
          <w:rFonts w:ascii="Arial" w:hAnsi="Arial" w:cs="Arial"/>
          <w:b/>
          <w:bCs/>
          <w:sz w:val="32"/>
          <w:szCs w:val="32"/>
          <w:lang w:val="en-US"/>
        </w:rPr>
        <w:t>na</w:t>
      </w:r>
      <w:proofErr w:type="gramEnd"/>
      <w:r>
        <w:rPr>
          <w:rFonts w:ascii="Arial" w:hAnsi="Arial" w:cs="Arial"/>
          <w:b/>
          <w:bCs/>
          <w:sz w:val="32"/>
          <w:szCs w:val="32"/>
          <w:lang w:val="en-US"/>
        </w:rPr>
        <w:t xml:space="preserve"> rok 2014 č. 2</w:t>
      </w:r>
      <w:r>
        <w:rPr>
          <w:rFonts w:ascii="Arial" w:hAnsi="Arial" w:cs="Arial"/>
          <w:lang w:val="en-US"/>
        </w:rPr>
        <w:fldChar w:fldCharType="end"/>
      </w:r>
    </w:p>
    <w:p w:rsidR="00D45D2C" w:rsidRDefault="00D45D2C" w:rsidP="00D45D2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  <w:lang w:val="en-US"/>
        </w:rPr>
      </w:pPr>
      <w:r>
        <w:rPr>
          <w:rFonts w:ascii="Arial" w:hAnsi="Arial" w:cs="Arial"/>
          <w:sz w:val="26"/>
          <w:szCs w:val="26"/>
          <w:lang w:val="en-US"/>
        </w:rPr>
        <w:t>Ministerstvo životného prostredia SR ako Riadiaci orgán pre OPŽP oznamuje, že zverejnilo na svojom webovom sídle druhú aktualizáciu HARMONOGRAMU VÝZIEV na predkladanie žiadostí o nenávratný finančný príspevok z fondov EÚ prostredníctvom OPŽP na rok 2014, ktorú nájdete v časti  ”Výzvy / Harmonogram výziev“.</w:t>
      </w:r>
    </w:p>
    <w:p w:rsidR="00D45D2C" w:rsidRDefault="00D45D2C" w:rsidP="00D45D2C">
      <w:pPr>
        <w:widowControl w:val="0"/>
        <w:autoSpaceDE w:val="0"/>
        <w:autoSpaceDN w:val="0"/>
        <w:adjustRightInd w:val="0"/>
        <w:spacing w:after="260"/>
        <w:rPr>
          <w:rFonts w:ascii="Helvetica" w:hAnsi="Helvetica" w:cs="Helvetica"/>
          <w:sz w:val="26"/>
          <w:szCs w:val="26"/>
          <w:lang w:val="en-US"/>
        </w:rPr>
      </w:pPr>
      <w:r>
        <w:rPr>
          <w:rFonts w:ascii="Arial" w:hAnsi="Arial" w:cs="Arial"/>
          <w:b/>
          <w:bCs/>
          <w:sz w:val="26"/>
          <w:szCs w:val="26"/>
          <w:lang w:val="en-US"/>
        </w:rPr>
        <w:t>Riadiaci orgán oznamuje potenciálnym žiadateľom, že indikatívna výška finančných prostriedkov určených na vyčerpanie v rámci jednotlivých výziev je orientačná a môže sa počas vyhlásenia výzvy, ako aj po jej uzavretí odlišovať od výšky finančných prostriedkov uvedených pre príslušnú výzvu v zverejnenom Harmonograme výziev.</w:t>
      </w:r>
    </w:p>
    <w:p w:rsidR="00D45D2C" w:rsidRDefault="00D45D2C" w:rsidP="00D45D2C">
      <w:pPr>
        <w:widowControl w:val="0"/>
        <w:autoSpaceDE w:val="0"/>
        <w:autoSpaceDN w:val="0"/>
        <w:adjustRightInd w:val="0"/>
        <w:spacing w:after="260"/>
        <w:rPr>
          <w:rFonts w:ascii="Helvetica" w:hAnsi="Helvetica" w:cs="Helvetica"/>
          <w:sz w:val="26"/>
          <w:szCs w:val="26"/>
          <w:lang w:val="en-US"/>
        </w:rPr>
      </w:pPr>
      <w:r>
        <w:rPr>
          <w:rFonts w:ascii="Arial" w:hAnsi="Arial" w:cs="Arial"/>
          <w:sz w:val="26"/>
          <w:szCs w:val="26"/>
          <w:lang w:val="en-US"/>
        </w:rPr>
        <w:t>S ohľadom na ukončovanie programového obdobia 2007 – 2013 </w:t>
      </w:r>
      <w:r>
        <w:rPr>
          <w:rFonts w:ascii="Arial" w:hAnsi="Arial" w:cs="Arial"/>
          <w:b/>
          <w:bCs/>
          <w:sz w:val="26"/>
          <w:szCs w:val="26"/>
          <w:lang w:val="en-US"/>
        </w:rPr>
        <w:t>bude</w:t>
      </w:r>
      <w:r>
        <w:rPr>
          <w:rFonts w:ascii="Arial" w:hAnsi="Arial" w:cs="Arial"/>
          <w:sz w:val="26"/>
          <w:szCs w:val="26"/>
          <w:lang w:val="en-US"/>
        </w:rPr>
        <w:t> </w:t>
      </w:r>
      <w:r>
        <w:rPr>
          <w:rFonts w:ascii="Arial" w:hAnsi="Arial" w:cs="Arial"/>
          <w:b/>
          <w:bCs/>
          <w:sz w:val="26"/>
          <w:szCs w:val="26"/>
          <w:lang w:val="en-US"/>
        </w:rPr>
        <w:t xml:space="preserve">riadiaci orgán vykonávať úpravy </w:t>
      </w:r>
      <w:proofErr w:type="gramStart"/>
      <w:r>
        <w:rPr>
          <w:rFonts w:ascii="Arial" w:hAnsi="Arial" w:cs="Arial"/>
          <w:b/>
          <w:bCs/>
          <w:sz w:val="26"/>
          <w:szCs w:val="26"/>
          <w:lang w:val="en-US"/>
        </w:rPr>
        <w:t>indikatívnej  výšky</w:t>
      </w:r>
      <w:proofErr w:type="gramEnd"/>
      <w:r>
        <w:rPr>
          <w:rFonts w:ascii="Arial" w:hAnsi="Arial" w:cs="Arial"/>
          <w:b/>
          <w:bCs/>
          <w:sz w:val="26"/>
          <w:szCs w:val="26"/>
          <w:lang w:val="en-US"/>
        </w:rPr>
        <w:t xml:space="preserve"> finančných prostriedkov určených na vyčerpanie v rámci jednotlivých výziev  </w:t>
      </w:r>
      <w:r>
        <w:rPr>
          <w:rFonts w:ascii="Arial" w:hAnsi="Arial" w:cs="Arial"/>
          <w:sz w:val="26"/>
          <w:szCs w:val="26"/>
          <w:lang w:val="en-US"/>
        </w:rPr>
        <w:t>v nadväznosti na postupné uvoľňovanie nevyčerpaných finančných prostriedkov.</w:t>
      </w:r>
    </w:p>
    <w:p w:rsidR="00D45D2C" w:rsidRDefault="00D45D2C" w:rsidP="00D45D2C">
      <w:pPr>
        <w:widowControl w:val="0"/>
        <w:autoSpaceDE w:val="0"/>
        <w:autoSpaceDN w:val="0"/>
        <w:adjustRightInd w:val="0"/>
        <w:spacing w:after="260"/>
        <w:rPr>
          <w:rFonts w:ascii="Helvetica" w:hAnsi="Helvetica" w:cs="Helvetica"/>
          <w:sz w:val="26"/>
          <w:szCs w:val="26"/>
          <w:lang w:val="en-US"/>
        </w:rPr>
      </w:pPr>
      <w:r>
        <w:rPr>
          <w:rFonts w:ascii="Arial" w:hAnsi="Arial" w:cs="Arial"/>
          <w:b/>
          <w:bCs/>
          <w:sz w:val="26"/>
          <w:szCs w:val="26"/>
          <w:lang w:val="en-US"/>
        </w:rPr>
        <w:t xml:space="preserve">Riadiaci orgán predpokladá postupné navyšovanie indikatívnej výšky finančných prostriedkov </w:t>
      </w:r>
      <w:proofErr w:type="gramStart"/>
      <w:r>
        <w:rPr>
          <w:rFonts w:ascii="Arial" w:hAnsi="Arial" w:cs="Arial"/>
          <w:b/>
          <w:bCs/>
          <w:sz w:val="26"/>
          <w:szCs w:val="26"/>
          <w:lang w:val="en-US"/>
        </w:rPr>
        <w:t>vo</w:t>
      </w:r>
      <w:proofErr w:type="gramEnd"/>
      <w:r>
        <w:rPr>
          <w:rFonts w:ascii="Arial" w:hAnsi="Arial" w:cs="Arial"/>
          <w:b/>
          <w:bCs/>
          <w:sz w:val="26"/>
          <w:szCs w:val="26"/>
          <w:lang w:val="en-US"/>
        </w:rPr>
        <w:t xml:space="preserve"> zverejnených výzvach tak, aby bola výška alokácie na príslušnú výzvu uvedená v zverejnenom Harmonograme výziev dosiahnutá, resp. prekročená</w:t>
      </w:r>
      <w:r>
        <w:rPr>
          <w:rFonts w:ascii="Arial" w:hAnsi="Arial" w:cs="Arial"/>
          <w:sz w:val="26"/>
          <w:szCs w:val="26"/>
          <w:lang w:val="en-US"/>
        </w:rPr>
        <w:t xml:space="preserve">. Riadiaci orgán zároveň plánuje využívať inštitút „zásobníka projektov“, ktorý je ustanovený v §14 </w:t>
      </w:r>
      <w:proofErr w:type="gramStart"/>
      <w:r>
        <w:rPr>
          <w:rFonts w:ascii="Arial" w:hAnsi="Arial" w:cs="Arial"/>
          <w:sz w:val="26"/>
          <w:szCs w:val="26"/>
          <w:lang w:val="en-US"/>
        </w:rPr>
        <w:t>ods</w:t>
      </w:r>
      <w:proofErr w:type="gramEnd"/>
      <w:r>
        <w:rPr>
          <w:rFonts w:ascii="Arial" w:hAnsi="Arial" w:cs="Arial"/>
          <w:sz w:val="26"/>
          <w:szCs w:val="26"/>
          <w:lang w:val="en-US"/>
        </w:rPr>
        <w:t xml:space="preserve">. </w:t>
      </w:r>
      <w:proofErr w:type="gramStart"/>
      <w:r>
        <w:rPr>
          <w:rFonts w:ascii="Arial" w:hAnsi="Arial" w:cs="Arial"/>
          <w:sz w:val="26"/>
          <w:szCs w:val="26"/>
          <w:lang w:val="en-US"/>
        </w:rPr>
        <w:t>9 zákona</w:t>
      </w:r>
      <w:proofErr w:type="gramEnd"/>
      <w:r>
        <w:rPr>
          <w:rFonts w:ascii="Arial" w:hAnsi="Arial" w:cs="Arial"/>
          <w:sz w:val="26"/>
          <w:szCs w:val="26"/>
          <w:lang w:val="en-US"/>
        </w:rPr>
        <w:t xml:space="preserve"> č. 528/2008 Z. z. o pomoci a podpore poskytovanej z fondov Európskej únie v znení neskorších predpisov.</w:t>
      </w:r>
    </w:p>
    <w:p w:rsidR="00D45D2C" w:rsidRDefault="00D45D2C" w:rsidP="00D45D2C">
      <w:pPr>
        <w:widowControl w:val="0"/>
        <w:autoSpaceDE w:val="0"/>
        <w:autoSpaceDN w:val="0"/>
        <w:adjustRightInd w:val="0"/>
        <w:spacing w:after="260"/>
        <w:rPr>
          <w:rFonts w:ascii="Helvetica" w:hAnsi="Helvetica" w:cs="Helvetica"/>
          <w:sz w:val="26"/>
          <w:szCs w:val="26"/>
          <w:lang w:val="en-US"/>
        </w:rPr>
      </w:pPr>
      <w:r>
        <w:rPr>
          <w:rFonts w:ascii="Arial" w:hAnsi="Arial" w:cs="Arial"/>
          <w:sz w:val="26"/>
          <w:szCs w:val="26"/>
          <w:lang w:val="en-US"/>
        </w:rPr>
        <w:t xml:space="preserve">Uvedené znamená, že </w:t>
      </w:r>
      <w:r>
        <w:rPr>
          <w:rFonts w:ascii="Arial" w:hAnsi="Arial" w:cs="Arial"/>
          <w:b/>
          <w:bCs/>
          <w:sz w:val="26"/>
          <w:szCs w:val="26"/>
          <w:lang w:val="en-US"/>
        </w:rPr>
        <w:t>Riadiaci orgán si</w:t>
      </w:r>
      <w:r>
        <w:rPr>
          <w:rFonts w:ascii="Arial" w:hAnsi="Arial" w:cs="Arial"/>
          <w:sz w:val="26"/>
          <w:szCs w:val="26"/>
          <w:lang w:val="en-US"/>
        </w:rPr>
        <w:t xml:space="preserve">, v súlade s príslušnými ustanoveniami zákona č. 528/2008 Z. z. o pomoci a podpore poskytovanej z fondov Európskej únie v znení neskorších predpisov, </w:t>
      </w:r>
      <w:r>
        <w:rPr>
          <w:rFonts w:ascii="Arial" w:hAnsi="Arial" w:cs="Arial"/>
          <w:b/>
          <w:bCs/>
          <w:sz w:val="26"/>
          <w:szCs w:val="26"/>
          <w:lang w:val="en-US"/>
        </w:rPr>
        <w:t>ponecháva právo zvýšiť indikatívnu výšku finančných prostriedkov v príslušnej výzve.</w:t>
      </w:r>
    </w:p>
    <w:p w:rsidR="00FF1162" w:rsidRDefault="00D45D2C" w:rsidP="00D45D2C">
      <w:hyperlink r:id="rId5" w:history="1">
        <w:r>
          <w:rPr>
            <w:rFonts w:ascii="Arial" w:hAnsi="Arial" w:cs="Arial"/>
            <w:color w:val="386EFF"/>
            <w:sz w:val="26"/>
            <w:szCs w:val="26"/>
            <w:lang w:val="en-US"/>
          </w:rPr>
          <w:t xml:space="preserve">Harmonogram výziev 2014 </w:t>
        </w:r>
      </w:hyperlink>
      <w:r>
        <w:rPr>
          <w:rFonts w:ascii="Arial" w:hAnsi="Arial" w:cs="Arial"/>
          <w:sz w:val="26"/>
          <w:szCs w:val="26"/>
          <w:lang w:val="en-US"/>
        </w:rPr>
        <w:t>(aktualizácia č.2)</w:t>
      </w:r>
      <w:bookmarkStart w:id="0" w:name="_GoBack"/>
      <w:bookmarkEnd w:id="0"/>
    </w:p>
    <w:sectPr w:rsidR="00FF1162" w:rsidSect="00FF116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D2C"/>
    <w:rsid w:val="00D45D2C"/>
    <w:rsid w:val="00FF1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64203F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opzp.sk/wp-content/uploads/Harmonogram-vyziev-OP-ZP-na-2014_aktualizacia_2.pdf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1648</Characters>
  <Application>Microsoft Macintosh Word</Application>
  <DocSecurity>0</DocSecurity>
  <Lines>13</Lines>
  <Paragraphs>3</Paragraphs>
  <ScaleCrop>false</ScaleCrop>
  <Company>RRA</Company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 Steiner</dc:creator>
  <cp:keywords/>
  <dc:description/>
  <cp:lastModifiedBy>Rene Steiner</cp:lastModifiedBy>
  <cp:revision>1</cp:revision>
  <dcterms:created xsi:type="dcterms:W3CDTF">2015-02-09T22:27:00Z</dcterms:created>
  <dcterms:modified xsi:type="dcterms:W3CDTF">2015-02-09T22:27:00Z</dcterms:modified>
</cp:coreProperties>
</file>